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F5BCD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西北师范大学成人本科生</w:t>
      </w:r>
    </w:p>
    <w:p w14:paraId="02D8933F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申请学士学位要求及专业课考试科目</w:t>
      </w:r>
    </w:p>
    <w:p w14:paraId="17A4D575">
      <w:p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</w:p>
    <w:p w14:paraId="5C5D9C2C">
      <w:p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申请要求：</w:t>
      </w:r>
    </w:p>
    <w:p w14:paraId="54B8C978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1、在校期间各门课程平均成绩在60分以上；</w:t>
      </w:r>
    </w:p>
    <w:p w14:paraId="3EF1F6EA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2、毕业论文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答辩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成绩在良好（75分）以上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，知网查重，重复率低于30%【字谱平台检测必须通过】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；</w:t>
      </w:r>
    </w:p>
    <w:p w14:paraId="4935E680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3、补考课程不得超过三门次（含三门次），且补考成绩合格。</w:t>
      </w:r>
    </w:p>
    <w:p w14:paraId="21877A58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4、根据省教育厅和学校学位办规定，凡申请学士学位的同学，必须参加学位英语和三门专业课考试且成绩合格。</w:t>
      </w:r>
    </w:p>
    <w:p w14:paraId="14FC546D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（1）学位英语：任选以下两种中的一个即可：</w:t>
      </w:r>
    </w:p>
    <w:p w14:paraId="3040470B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①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在校期间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参加全国公共英语三级笔试（PETS三级）考试且成绩合格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，每年3、9月两次报名机会，学生关注官网自行报名即可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；</w:t>
      </w:r>
    </w:p>
    <w:p w14:paraId="63825233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②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在校期间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参加西北师范大学继续教育学院组织的申请学士学位外语水平考试（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其余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专业的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考试语种为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英语，英语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和阿拉伯语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专业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的考试语种为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日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法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俄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德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）。</w:t>
      </w:r>
      <w:bookmarkStart w:id="0" w:name="_GoBack"/>
      <w:r>
        <w:rPr>
          <w:rFonts w:hint="eastAsia" w:ascii="宋体" w:hAnsi="宋体" w:cs="宋体"/>
          <w:color w:val="FF0000"/>
          <w:kern w:val="0"/>
          <w:sz w:val="28"/>
          <w:szCs w:val="28"/>
          <w:lang w:val="en-US" w:eastAsia="zh-CN"/>
        </w:rPr>
        <w:t>延期毕业学生不能报考学位外语考试。</w:t>
      </w:r>
      <w:bookmarkEnd w:id="0"/>
    </w:p>
    <w:p w14:paraId="2EAD4E4C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（2）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三门专业课：闭卷考试，由学校学位办和继续教育学院共同组织。</w:t>
      </w:r>
    </w:p>
    <w:p w14:paraId="253A9894"/>
    <w:p w14:paraId="049DACD3">
      <w:pPr>
        <w:rPr>
          <w:rFonts w:hint="eastAsia" w:eastAsia="宋体"/>
          <w:b/>
          <w:bCs/>
          <w:highlight w:val="yellow"/>
          <w:lang w:val="en-US" w:eastAsia="zh-CN"/>
        </w:rPr>
      </w:pPr>
      <w:r>
        <w:rPr>
          <w:rFonts w:hint="eastAsia"/>
          <w:b/>
          <w:bCs/>
          <w:highlight w:val="yellow"/>
          <w:lang w:val="en-US" w:eastAsia="zh-CN"/>
        </w:rPr>
        <w:t>注意：学位英语和三级都必须是在籍期间考过的，毕业后不能再报考。</w:t>
      </w:r>
    </w:p>
    <w:p w14:paraId="383EDAAE"/>
    <w:p w14:paraId="059AD809"/>
    <w:p w14:paraId="09F2B97C">
      <w:pPr>
        <w:rPr>
          <w:rFonts w:hint="eastAsia" w:asciiTheme="majorEastAsia" w:hAnsiTheme="majorEastAsia" w:eastAsia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/>
          <w:b/>
          <w:bCs/>
          <w:sz w:val="36"/>
          <w:szCs w:val="36"/>
          <w:lang w:val="en-US" w:eastAsia="zh-CN"/>
        </w:rPr>
        <w:br w:type="page"/>
      </w:r>
    </w:p>
    <w:p w14:paraId="2370E200">
      <w:pPr>
        <w:spacing w:line="440" w:lineRule="atLeast"/>
        <w:jc w:val="both"/>
        <w:rPr>
          <w:rFonts w:hint="eastAsia" w:asciiTheme="majorEastAsia" w:hAnsiTheme="majorEastAsia" w:eastAsia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/>
          <w:b/>
          <w:bCs/>
          <w:sz w:val="36"/>
          <w:szCs w:val="36"/>
          <w:lang w:val="en-US" w:eastAsia="zh-CN"/>
        </w:rPr>
        <w:t>各位考生：学位英语考试成绩合格后，考生可以准备参加以下三门学位课程考试，时间另行通知。</w:t>
      </w:r>
    </w:p>
    <w:p w14:paraId="4F422D55">
      <w:pPr>
        <w:spacing w:line="440" w:lineRule="atLeast"/>
        <w:jc w:val="center"/>
        <w:rPr>
          <w:rFonts w:hint="eastAsia" w:asciiTheme="majorEastAsia" w:hAnsiTheme="majorEastAsia" w:eastAsiaTheme="majorEastAsia"/>
          <w:sz w:val="36"/>
          <w:szCs w:val="36"/>
        </w:rPr>
      </w:pPr>
      <w:r>
        <w:rPr>
          <w:rFonts w:hint="eastAsia" w:asciiTheme="majorEastAsia" w:hAnsiTheme="majorEastAsia" w:eastAsiaTheme="majorEastAsia"/>
          <w:sz w:val="36"/>
          <w:szCs w:val="36"/>
        </w:rPr>
        <w:t>西北师范大学成人高等教育本科毕业生学位课程考试科目</w:t>
      </w:r>
    </w:p>
    <w:tbl>
      <w:tblPr>
        <w:tblStyle w:val="3"/>
        <w:tblW w:w="975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3"/>
        <w:gridCol w:w="1085"/>
        <w:gridCol w:w="1969"/>
        <w:gridCol w:w="2475"/>
        <w:gridCol w:w="1050"/>
        <w:gridCol w:w="850"/>
      </w:tblGrid>
      <w:tr w14:paraId="3DE123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3382F5C9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专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业名称</w:t>
            </w:r>
          </w:p>
        </w:tc>
        <w:tc>
          <w:tcPr>
            <w:tcW w:w="1085" w:type="dxa"/>
            <w:vAlign w:val="center"/>
          </w:tcPr>
          <w:p w14:paraId="796C3EC1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基础课</w:t>
            </w:r>
          </w:p>
        </w:tc>
        <w:tc>
          <w:tcPr>
            <w:tcW w:w="4444" w:type="dxa"/>
            <w:gridSpan w:val="2"/>
            <w:vAlign w:val="center"/>
          </w:tcPr>
          <w:p w14:paraId="65C7012C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专业主干课</w:t>
            </w:r>
          </w:p>
        </w:tc>
        <w:tc>
          <w:tcPr>
            <w:tcW w:w="1050" w:type="dxa"/>
            <w:vAlign w:val="center"/>
          </w:tcPr>
          <w:p w14:paraId="2E67D50D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外语</w:t>
            </w:r>
          </w:p>
        </w:tc>
        <w:tc>
          <w:tcPr>
            <w:tcW w:w="850" w:type="dxa"/>
            <w:vAlign w:val="center"/>
          </w:tcPr>
          <w:p w14:paraId="5C72D54C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备注</w:t>
            </w:r>
          </w:p>
        </w:tc>
      </w:tr>
      <w:tr w14:paraId="79D997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55C4D0E5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汉语言文学</w:t>
            </w:r>
          </w:p>
        </w:tc>
        <w:tc>
          <w:tcPr>
            <w:tcW w:w="1085" w:type="dxa"/>
            <w:vMerge w:val="restart"/>
            <w:vAlign w:val="center"/>
          </w:tcPr>
          <w:p w14:paraId="2191BCC5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马</w:t>
            </w:r>
          </w:p>
          <w:p w14:paraId="579F3874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克</w:t>
            </w:r>
          </w:p>
          <w:p w14:paraId="1EF0482C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思</w:t>
            </w:r>
          </w:p>
          <w:p w14:paraId="31723B3C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主</w:t>
            </w:r>
          </w:p>
          <w:p w14:paraId="36747EF1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义</w:t>
            </w:r>
          </w:p>
          <w:p w14:paraId="5B1D909D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基</w:t>
            </w:r>
          </w:p>
          <w:p w14:paraId="0355987D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本</w:t>
            </w:r>
          </w:p>
          <w:p w14:paraId="0958E3D5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原</w:t>
            </w:r>
          </w:p>
          <w:p w14:paraId="3F1AC57F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理</w:t>
            </w:r>
          </w:p>
        </w:tc>
        <w:tc>
          <w:tcPr>
            <w:tcW w:w="1969" w:type="dxa"/>
            <w:vAlign w:val="center"/>
          </w:tcPr>
          <w:p w14:paraId="7140D30B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中国古代文学</w:t>
            </w:r>
          </w:p>
        </w:tc>
        <w:tc>
          <w:tcPr>
            <w:tcW w:w="2475" w:type="dxa"/>
            <w:vAlign w:val="center"/>
          </w:tcPr>
          <w:p w14:paraId="14B7A96C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古代汉语</w:t>
            </w:r>
          </w:p>
        </w:tc>
        <w:tc>
          <w:tcPr>
            <w:tcW w:w="1050" w:type="dxa"/>
            <w:vMerge w:val="restart"/>
            <w:vAlign w:val="center"/>
          </w:tcPr>
          <w:p w14:paraId="71A5F834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7843B8F4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79AAC5D2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2162F568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126325D1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465AE25B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5663B255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2AE5B525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0352FB1B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6B8631BF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449D1FF8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13700A45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3E1331D9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13E20E31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3AF29E97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27CB0EE7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  <w:p w14:paraId="694B3EFB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5CBEF64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2EE8B2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tcBorders>
              <w:bottom w:val="single" w:color="auto" w:sz="4" w:space="0"/>
            </w:tcBorders>
            <w:vAlign w:val="center"/>
          </w:tcPr>
          <w:p w14:paraId="10A2E584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历史学</w:t>
            </w:r>
          </w:p>
        </w:tc>
        <w:tc>
          <w:tcPr>
            <w:tcW w:w="1085" w:type="dxa"/>
            <w:vMerge w:val="continue"/>
            <w:vAlign w:val="center"/>
          </w:tcPr>
          <w:p w14:paraId="680C243A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1E8A9510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中国现代史</w:t>
            </w:r>
          </w:p>
        </w:tc>
        <w:tc>
          <w:tcPr>
            <w:tcW w:w="2475" w:type="dxa"/>
            <w:vAlign w:val="center"/>
          </w:tcPr>
          <w:p w14:paraId="29D7E5B1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世界近代史</w:t>
            </w:r>
          </w:p>
        </w:tc>
        <w:tc>
          <w:tcPr>
            <w:tcW w:w="1050" w:type="dxa"/>
            <w:vMerge w:val="continue"/>
            <w:vAlign w:val="center"/>
          </w:tcPr>
          <w:p w14:paraId="32BBAE5C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88B356E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563B44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tcBorders>
              <w:top w:val="single" w:color="auto" w:sz="4" w:space="0"/>
            </w:tcBorders>
            <w:vAlign w:val="center"/>
          </w:tcPr>
          <w:p w14:paraId="3E62ED80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思想政治教育</w:t>
            </w:r>
          </w:p>
        </w:tc>
        <w:tc>
          <w:tcPr>
            <w:tcW w:w="1085" w:type="dxa"/>
            <w:vMerge w:val="continue"/>
            <w:vAlign w:val="center"/>
          </w:tcPr>
          <w:p w14:paraId="5D6121AE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740FB19D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法学概论</w:t>
            </w:r>
          </w:p>
        </w:tc>
        <w:tc>
          <w:tcPr>
            <w:tcW w:w="2475" w:type="dxa"/>
            <w:vAlign w:val="center"/>
          </w:tcPr>
          <w:p w14:paraId="2EE785EB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政治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原理</w:t>
            </w:r>
          </w:p>
        </w:tc>
        <w:tc>
          <w:tcPr>
            <w:tcW w:w="1050" w:type="dxa"/>
            <w:vMerge w:val="continue"/>
            <w:vAlign w:val="center"/>
          </w:tcPr>
          <w:p w14:paraId="73FE06A7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0A4D54C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56C8F8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0414B5D3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法学</w:t>
            </w:r>
          </w:p>
        </w:tc>
        <w:tc>
          <w:tcPr>
            <w:tcW w:w="1085" w:type="dxa"/>
            <w:vMerge w:val="continue"/>
            <w:vAlign w:val="center"/>
          </w:tcPr>
          <w:p w14:paraId="146610D9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6C6DB815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民法学</w:t>
            </w:r>
          </w:p>
        </w:tc>
        <w:tc>
          <w:tcPr>
            <w:tcW w:w="2475" w:type="dxa"/>
            <w:vAlign w:val="center"/>
          </w:tcPr>
          <w:p w14:paraId="6A5EAD45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刑法学</w:t>
            </w:r>
          </w:p>
        </w:tc>
        <w:tc>
          <w:tcPr>
            <w:tcW w:w="1050" w:type="dxa"/>
            <w:vMerge w:val="continue"/>
            <w:vAlign w:val="center"/>
          </w:tcPr>
          <w:p w14:paraId="2177753B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46CAACF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1C11BE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412717ED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物理学</w:t>
            </w:r>
          </w:p>
        </w:tc>
        <w:tc>
          <w:tcPr>
            <w:tcW w:w="1085" w:type="dxa"/>
            <w:vMerge w:val="continue"/>
            <w:vAlign w:val="center"/>
          </w:tcPr>
          <w:p w14:paraId="2AA6042A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454B83D3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量子力学</w:t>
            </w:r>
          </w:p>
        </w:tc>
        <w:tc>
          <w:tcPr>
            <w:tcW w:w="2475" w:type="dxa"/>
            <w:vAlign w:val="center"/>
          </w:tcPr>
          <w:p w14:paraId="34C9476B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热力学统计物理</w:t>
            </w:r>
          </w:p>
        </w:tc>
        <w:tc>
          <w:tcPr>
            <w:tcW w:w="1050" w:type="dxa"/>
            <w:vMerge w:val="continue"/>
            <w:vAlign w:val="center"/>
          </w:tcPr>
          <w:p w14:paraId="2D7B2520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BA90F4F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729D85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3D946F24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化学</w:t>
            </w:r>
          </w:p>
        </w:tc>
        <w:tc>
          <w:tcPr>
            <w:tcW w:w="1085" w:type="dxa"/>
            <w:vMerge w:val="continue"/>
            <w:vAlign w:val="center"/>
          </w:tcPr>
          <w:p w14:paraId="11BFB004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4D1A3785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无机化学</w:t>
            </w:r>
          </w:p>
        </w:tc>
        <w:tc>
          <w:tcPr>
            <w:tcW w:w="2475" w:type="dxa"/>
            <w:vAlign w:val="center"/>
          </w:tcPr>
          <w:p w14:paraId="531383E5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化学分析</w:t>
            </w:r>
          </w:p>
        </w:tc>
        <w:tc>
          <w:tcPr>
            <w:tcW w:w="1050" w:type="dxa"/>
            <w:vMerge w:val="continue"/>
            <w:vAlign w:val="center"/>
          </w:tcPr>
          <w:p w14:paraId="017778D5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302C901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19B353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326B4B4B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体育教育</w:t>
            </w:r>
          </w:p>
        </w:tc>
        <w:tc>
          <w:tcPr>
            <w:tcW w:w="1085" w:type="dxa"/>
            <w:vMerge w:val="continue"/>
            <w:vAlign w:val="center"/>
          </w:tcPr>
          <w:p w14:paraId="6ED9BA60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50D8E12C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>运动生理学</w:t>
            </w:r>
          </w:p>
        </w:tc>
        <w:tc>
          <w:tcPr>
            <w:tcW w:w="2475" w:type="dxa"/>
            <w:vAlign w:val="center"/>
          </w:tcPr>
          <w:p w14:paraId="16F94793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体育保健学</w:t>
            </w:r>
          </w:p>
        </w:tc>
        <w:tc>
          <w:tcPr>
            <w:tcW w:w="1050" w:type="dxa"/>
            <w:vMerge w:val="continue"/>
            <w:vAlign w:val="center"/>
          </w:tcPr>
          <w:p w14:paraId="08FE9910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F1B1C01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370E1A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5E2C3AD3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数学与应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用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数学</w:t>
            </w:r>
          </w:p>
        </w:tc>
        <w:tc>
          <w:tcPr>
            <w:tcW w:w="1085" w:type="dxa"/>
            <w:vMerge w:val="continue"/>
            <w:vAlign w:val="center"/>
          </w:tcPr>
          <w:p w14:paraId="533CE4BA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44AEA9D7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微分几何</w:t>
            </w:r>
          </w:p>
        </w:tc>
        <w:tc>
          <w:tcPr>
            <w:tcW w:w="2475" w:type="dxa"/>
            <w:vAlign w:val="center"/>
          </w:tcPr>
          <w:p w14:paraId="349B5996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近世代数</w:t>
            </w:r>
          </w:p>
        </w:tc>
        <w:tc>
          <w:tcPr>
            <w:tcW w:w="1050" w:type="dxa"/>
            <w:vMerge w:val="continue"/>
            <w:vAlign w:val="center"/>
          </w:tcPr>
          <w:p w14:paraId="2524E36C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5377FC8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2B80DA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27296B25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计算机科学与技术</w:t>
            </w:r>
          </w:p>
        </w:tc>
        <w:tc>
          <w:tcPr>
            <w:tcW w:w="1085" w:type="dxa"/>
            <w:vMerge w:val="continue"/>
            <w:vAlign w:val="center"/>
          </w:tcPr>
          <w:p w14:paraId="2305E786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6A2C2FEF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数据结构</w:t>
            </w:r>
          </w:p>
        </w:tc>
        <w:tc>
          <w:tcPr>
            <w:tcW w:w="2475" w:type="dxa"/>
            <w:vAlign w:val="center"/>
          </w:tcPr>
          <w:p w14:paraId="07FC9721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计算机组成原理</w:t>
            </w:r>
          </w:p>
        </w:tc>
        <w:tc>
          <w:tcPr>
            <w:tcW w:w="1050" w:type="dxa"/>
            <w:vMerge w:val="continue"/>
            <w:vAlign w:val="center"/>
          </w:tcPr>
          <w:p w14:paraId="5600B594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2C3B15D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569ED8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6558C31E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旅游管理</w:t>
            </w:r>
          </w:p>
        </w:tc>
        <w:tc>
          <w:tcPr>
            <w:tcW w:w="1085" w:type="dxa"/>
            <w:vMerge w:val="continue"/>
            <w:vAlign w:val="center"/>
          </w:tcPr>
          <w:p w14:paraId="19F1488D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0A232B6F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旅游学概论</w:t>
            </w:r>
          </w:p>
        </w:tc>
        <w:tc>
          <w:tcPr>
            <w:tcW w:w="2475" w:type="dxa"/>
            <w:vAlign w:val="center"/>
          </w:tcPr>
          <w:p w14:paraId="13CAF6CC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旅行社经营与管理</w:t>
            </w:r>
          </w:p>
        </w:tc>
        <w:tc>
          <w:tcPr>
            <w:tcW w:w="1050" w:type="dxa"/>
            <w:vMerge w:val="continue"/>
            <w:vAlign w:val="center"/>
          </w:tcPr>
          <w:p w14:paraId="76DCEF79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D5288FF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3E4E48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09B4A356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教育技术学</w:t>
            </w:r>
          </w:p>
        </w:tc>
        <w:tc>
          <w:tcPr>
            <w:tcW w:w="1085" w:type="dxa"/>
            <w:vMerge w:val="continue"/>
            <w:vAlign w:val="center"/>
          </w:tcPr>
          <w:p w14:paraId="189C18F7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425E4794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教育传播学</w:t>
            </w:r>
          </w:p>
        </w:tc>
        <w:tc>
          <w:tcPr>
            <w:tcW w:w="2475" w:type="dxa"/>
            <w:vAlign w:val="center"/>
          </w:tcPr>
          <w:p w14:paraId="09119D63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教育技术学研究方法</w:t>
            </w:r>
          </w:p>
        </w:tc>
        <w:tc>
          <w:tcPr>
            <w:tcW w:w="1050" w:type="dxa"/>
            <w:vMerge w:val="continue"/>
            <w:vAlign w:val="center"/>
          </w:tcPr>
          <w:p w14:paraId="6E7B8D17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A1521BE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331313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1C981C4A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教育学</w:t>
            </w:r>
          </w:p>
        </w:tc>
        <w:tc>
          <w:tcPr>
            <w:tcW w:w="1085" w:type="dxa"/>
            <w:vMerge w:val="continue"/>
            <w:vAlign w:val="center"/>
          </w:tcPr>
          <w:p w14:paraId="17B1DA19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31BAE6CB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教育心理学</w:t>
            </w:r>
          </w:p>
        </w:tc>
        <w:tc>
          <w:tcPr>
            <w:tcW w:w="2475" w:type="dxa"/>
            <w:vAlign w:val="center"/>
          </w:tcPr>
          <w:p w14:paraId="4D41DFFB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教育学</w:t>
            </w:r>
          </w:p>
        </w:tc>
        <w:tc>
          <w:tcPr>
            <w:tcW w:w="1050" w:type="dxa"/>
            <w:vMerge w:val="continue"/>
            <w:vAlign w:val="center"/>
          </w:tcPr>
          <w:p w14:paraId="22FEA2DC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E182071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7EE89B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567B3D13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学前教育学</w:t>
            </w:r>
          </w:p>
        </w:tc>
        <w:tc>
          <w:tcPr>
            <w:tcW w:w="1085" w:type="dxa"/>
            <w:vMerge w:val="continue"/>
            <w:vAlign w:val="center"/>
          </w:tcPr>
          <w:p w14:paraId="386D6255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25E42A9D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学前心理学</w:t>
            </w:r>
          </w:p>
        </w:tc>
        <w:tc>
          <w:tcPr>
            <w:tcW w:w="2475" w:type="dxa"/>
            <w:vAlign w:val="center"/>
          </w:tcPr>
          <w:p w14:paraId="282CE797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学前教育学</w:t>
            </w:r>
          </w:p>
        </w:tc>
        <w:tc>
          <w:tcPr>
            <w:tcW w:w="1050" w:type="dxa"/>
            <w:vMerge w:val="continue"/>
            <w:vAlign w:val="center"/>
          </w:tcPr>
          <w:p w14:paraId="2AF4B075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4758A10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2B87B1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35C2AD2F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会计学</w:t>
            </w:r>
          </w:p>
        </w:tc>
        <w:tc>
          <w:tcPr>
            <w:tcW w:w="1085" w:type="dxa"/>
            <w:vMerge w:val="continue"/>
            <w:vAlign w:val="center"/>
          </w:tcPr>
          <w:p w14:paraId="0A27A9A5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0D1BE80F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基础会计学</w:t>
            </w:r>
          </w:p>
        </w:tc>
        <w:tc>
          <w:tcPr>
            <w:tcW w:w="2475" w:type="dxa"/>
            <w:vAlign w:val="center"/>
          </w:tcPr>
          <w:p w14:paraId="1B699DD2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中级财务会计</w:t>
            </w:r>
          </w:p>
        </w:tc>
        <w:tc>
          <w:tcPr>
            <w:tcW w:w="1050" w:type="dxa"/>
            <w:vMerge w:val="continue"/>
            <w:vAlign w:val="center"/>
          </w:tcPr>
          <w:p w14:paraId="4B276A93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C19449C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0E4FE6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55DE47D7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工商管理</w:t>
            </w:r>
          </w:p>
        </w:tc>
        <w:tc>
          <w:tcPr>
            <w:tcW w:w="1085" w:type="dxa"/>
            <w:vMerge w:val="continue"/>
            <w:vAlign w:val="center"/>
          </w:tcPr>
          <w:p w14:paraId="29988086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29368007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管理学</w:t>
            </w:r>
          </w:p>
        </w:tc>
        <w:tc>
          <w:tcPr>
            <w:tcW w:w="2475" w:type="dxa"/>
            <w:vAlign w:val="center"/>
          </w:tcPr>
          <w:p w14:paraId="21BDAC4E">
            <w:pPr>
              <w:spacing w:line="440" w:lineRule="atLeast"/>
              <w:jc w:val="left"/>
              <w:rPr>
                <w:rFonts w:hint="default" w:asciiTheme="majorEastAsia" w:hAnsiTheme="majorEastAsia" w:eastAsia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>财务管理</w:t>
            </w:r>
          </w:p>
        </w:tc>
        <w:tc>
          <w:tcPr>
            <w:tcW w:w="1050" w:type="dxa"/>
            <w:vMerge w:val="continue"/>
            <w:vAlign w:val="center"/>
          </w:tcPr>
          <w:p w14:paraId="7BDDD717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FFCB837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15DBE0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0FB9B6DC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阿拉伯语</w:t>
            </w:r>
          </w:p>
        </w:tc>
        <w:tc>
          <w:tcPr>
            <w:tcW w:w="1085" w:type="dxa"/>
            <w:vMerge w:val="continue"/>
            <w:tcBorders>
              <w:bottom w:val="single" w:color="auto" w:sz="4" w:space="0"/>
            </w:tcBorders>
            <w:vAlign w:val="center"/>
          </w:tcPr>
          <w:p w14:paraId="433F7F1B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599C75A6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翻译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技巧</w:t>
            </w:r>
          </w:p>
        </w:tc>
        <w:tc>
          <w:tcPr>
            <w:tcW w:w="2475" w:type="dxa"/>
            <w:vAlign w:val="center"/>
          </w:tcPr>
          <w:p w14:paraId="5A361CFF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高级阿拉伯语</w:t>
            </w:r>
          </w:p>
        </w:tc>
        <w:tc>
          <w:tcPr>
            <w:tcW w:w="1050" w:type="dxa"/>
            <w:vMerge w:val="continue"/>
            <w:tcBorders>
              <w:bottom w:val="single" w:color="auto" w:sz="4" w:space="0"/>
            </w:tcBorders>
            <w:vAlign w:val="center"/>
          </w:tcPr>
          <w:p w14:paraId="67DB442C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798023C8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12CC32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23" w:type="dxa"/>
            <w:vAlign w:val="center"/>
          </w:tcPr>
          <w:p w14:paraId="66A6673B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0CC5D672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003D6A18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翻译</w:t>
            </w:r>
          </w:p>
        </w:tc>
        <w:tc>
          <w:tcPr>
            <w:tcW w:w="2475" w:type="dxa"/>
            <w:vAlign w:val="center"/>
          </w:tcPr>
          <w:p w14:paraId="42153F9A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基础英语</w:t>
            </w: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4ACB79">
            <w:pPr>
              <w:spacing w:line="440" w:lineRule="atLeast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>二外</w:t>
            </w:r>
          </w:p>
        </w:tc>
        <w:tc>
          <w:tcPr>
            <w:tcW w:w="850" w:type="dxa"/>
            <w:vAlign w:val="center"/>
          </w:tcPr>
          <w:p w14:paraId="5D655581">
            <w:pPr>
              <w:spacing w:line="440" w:lineRule="atLeast"/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</w:tbl>
    <w:p w14:paraId="7CCFCBBD">
      <w:pPr>
        <w:spacing w:line="440" w:lineRule="atLeast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注：公共课考试外语语种：英语</w:t>
      </w:r>
    </w:p>
    <w:p w14:paraId="4F6E3160">
      <w:pPr>
        <w:spacing w:line="440" w:lineRule="atLeast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 xml:space="preserve">    公共课考试基础课：马克思主义基本原理</w:t>
      </w:r>
    </w:p>
    <w:p w14:paraId="3A2B6FC2">
      <w:pPr>
        <w:spacing w:line="440" w:lineRule="atLeast"/>
        <w:ind w:firstLine="482" w:firstLineChars="200"/>
        <w:rPr>
          <w:rFonts w:hint="eastAsia" w:asciiTheme="majorEastAsia" w:hAnsiTheme="majorEastAsia" w:eastAsiaTheme="majorEastAsia"/>
          <w:b/>
          <w:bCs/>
          <w:sz w:val="24"/>
          <w:szCs w:val="24"/>
          <w:highlight w:val="yellow"/>
          <w:lang w:eastAsia="zh-CN"/>
        </w:rPr>
      </w:pPr>
      <w:r>
        <w:rPr>
          <w:rFonts w:hint="eastAsia" w:asciiTheme="majorEastAsia" w:hAnsiTheme="majorEastAsia" w:eastAsiaTheme="majorEastAsia"/>
          <w:b/>
          <w:bCs/>
          <w:sz w:val="24"/>
          <w:szCs w:val="24"/>
          <w:highlight w:val="yellow"/>
        </w:rPr>
        <w:t>英语</w:t>
      </w:r>
      <w:r>
        <w:rPr>
          <w:rFonts w:hint="eastAsia" w:asciiTheme="majorEastAsia" w:hAnsiTheme="majorEastAsia" w:eastAsiaTheme="majorEastAsia"/>
          <w:b/>
          <w:bCs/>
          <w:sz w:val="24"/>
          <w:szCs w:val="24"/>
          <w:highlight w:val="yellow"/>
          <w:lang w:eastAsia="zh-CN"/>
        </w:rPr>
        <w:t>、阿拉伯语</w:t>
      </w:r>
      <w:r>
        <w:rPr>
          <w:rFonts w:hint="eastAsia" w:asciiTheme="majorEastAsia" w:hAnsiTheme="majorEastAsia" w:eastAsiaTheme="majorEastAsia"/>
          <w:b/>
          <w:bCs/>
          <w:sz w:val="24"/>
          <w:szCs w:val="24"/>
          <w:highlight w:val="yellow"/>
        </w:rPr>
        <w:t>专业二外考试语种为：</w:t>
      </w:r>
      <w:r>
        <w:rPr>
          <w:rFonts w:hint="eastAsia" w:asciiTheme="majorEastAsia" w:hAnsiTheme="majorEastAsia" w:eastAsiaTheme="majorEastAsia"/>
          <w:b/>
          <w:bCs/>
          <w:sz w:val="24"/>
          <w:szCs w:val="24"/>
          <w:highlight w:val="yellow"/>
          <w:lang w:eastAsia="zh-CN"/>
        </w:rPr>
        <w:t>日</w:t>
      </w:r>
      <w:r>
        <w:rPr>
          <w:rFonts w:hint="eastAsia" w:asciiTheme="majorEastAsia" w:hAnsiTheme="majorEastAsia" w:eastAsiaTheme="majorEastAsia"/>
          <w:b/>
          <w:bCs/>
          <w:sz w:val="24"/>
          <w:szCs w:val="24"/>
          <w:highlight w:val="yellow"/>
        </w:rPr>
        <w:t>、</w:t>
      </w:r>
      <w:r>
        <w:rPr>
          <w:rFonts w:hint="eastAsia" w:asciiTheme="majorEastAsia" w:hAnsiTheme="majorEastAsia" w:eastAsiaTheme="majorEastAsia"/>
          <w:b/>
          <w:bCs/>
          <w:sz w:val="24"/>
          <w:szCs w:val="24"/>
          <w:highlight w:val="yellow"/>
          <w:lang w:eastAsia="zh-CN"/>
        </w:rPr>
        <w:t>法、俄、</w:t>
      </w:r>
      <w:r>
        <w:rPr>
          <w:rFonts w:hint="eastAsia" w:asciiTheme="majorEastAsia" w:hAnsiTheme="majorEastAsia" w:eastAsiaTheme="majorEastAsia"/>
          <w:b/>
          <w:bCs/>
          <w:sz w:val="24"/>
          <w:szCs w:val="24"/>
          <w:highlight w:val="yellow"/>
        </w:rPr>
        <w:t>德</w:t>
      </w:r>
      <w:r>
        <w:rPr>
          <w:rFonts w:hint="eastAsia" w:asciiTheme="majorEastAsia" w:hAnsiTheme="majorEastAsia" w:eastAsiaTheme="majorEastAsia"/>
          <w:b/>
          <w:bCs/>
          <w:sz w:val="24"/>
          <w:szCs w:val="24"/>
          <w:highlight w:val="yellow"/>
          <w:lang w:eastAsia="zh-CN"/>
        </w:rPr>
        <w:t>等</w:t>
      </w:r>
    </w:p>
    <w:p w14:paraId="62A8A51C">
      <w:pPr>
        <w:spacing w:line="440" w:lineRule="atLeast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 xml:space="preserve">                                   </w:t>
      </w:r>
    </w:p>
    <w:p w14:paraId="1C9309D6">
      <w:pPr>
        <w:spacing w:line="440" w:lineRule="atLeast"/>
        <w:rPr>
          <w:rFonts w:hint="default" w:asciiTheme="majorEastAsia" w:hAnsiTheme="majorEastAsia" w:eastAsia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 xml:space="preserve">       </w:t>
      </w:r>
    </w:p>
    <w:p w14:paraId="524A44C8"/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jMmFmMzkyMWI3YWE5ODk2ODZkZThkNjMyOGE2NDQifQ=="/>
  </w:docVars>
  <w:rsids>
    <w:rsidRoot w:val="747A6661"/>
    <w:rsid w:val="05283431"/>
    <w:rsid w:val="0B0652AF"/>
    <w:rsid w:val="164769B7"/>
    <w:rsid w:val="166C3825"/>
    <w:rsid w:val="16B45C6A"/>
    <w:rsid w:val="1C876837"/>
    <w:rsid w:val="1FF40688"/>
    <w:rsid w:val="21B46575"/>
    <w:rsid w:val="2A5B648A"/>
    <w:rsid w:val="407E5CAF"/>
    <w:rsid w:val="43FE6E00"/>
    <w:rsid w:val="4D310918"/>
    <w:rsid w:val="4F9F566B"/>
    <w:rsid w:val="502B0566"/>
    <w:rsid w:val="58D22CA9"/>
    <w:rsid w:val="5E376F5D"/>
    <w:rsid w:val="62DE42A4"/>
    <w:rsid w:val="67213E84"/>
    <w:rsid w:val="686419D2"/>
    <w:rsid w:val="6E166FE8"/>
    <w:rsid w:val="747A6661"/>
    <w:rsid w:val="7A11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750</Words>
  <Characters>757</Characters>
  <Lines>0</Lines>
  <Paragraphs>0</Paragraphs>
  <TotalTime>20</TotalTime>
  <ScaleCrop>false</ScaleCrop>
  <LinksUpToDate>false</LinksUpToDate>
  <CharactersWithSpaces>803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2021-10-11T09:22:00Z</dcterms:created>
  <dc:creator>Administrator</dc:creator>
  <cp:lastModifiedBy>提拉米～苏苏</cp:lastModifiedBy>
  <dcterms:modified xsi:type="dcterms:W3CDTF">2025-12-05T01:16:33Z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F904EEAA9E70456CADBE96C854EC435C</vt:lpwstr>
  </property>
  <property fmtid="{D5CDD505-2E9C-101B-9397-08002B2CF9AE}" pid="4" name="KSOTemplateDocerSaveRecord">
    <vt:lpwstr>eyJoZGlkIjoiOWFjMmFmMzkyMWI3YWE5ODk2ODZkZThkNjMyOGE2NDQiLCJ1c2VySWQiOiIxMTUzODUyMDkxIn0=</vt:lpwstr>
  </property>
</Properties>
</file>